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FC1764">
      <w:pPr>
        <w:ind w:firstLine="0"/>
        <w:jc w:val="center"/>
        <w:outlineLvl w:val="0"/>
        <w:rPr>
          <w:rFonts w:ascii="Times New Roman" w:hAnsi="Times New Roman" w:eastAsia="Times New Roman" w:cs="Times New Roman"/>
          <w:bCs/>
          <w:color w:val="000000" w:themeColor="text1"/>
          <w:kern w:val="36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Cs/>
          <w:color w:val="000000" w:themeColor="text1"/>
          <w:kern w:val="36"/>
          <w:lang w:eastAsia="ru-RU"/>
          <w14:textFill>
            <w14:solidFill>
              <w14:schemeClr w14:val="tx1"/>
            </w14:solidFill>
          </w14:textFill>
        </w:rPr>
        <w:t>ЗАПРОС</w:t>
      </w:r>
      <w:r>
        <w:rPr>
          <w:rFonts w:ascii="Times New Roman" w:hAnsi="Times New Roman" w:eastAsia="Times New Roman" w:cs="Times New Roman"/>
          <w:bCs/>
          <w:color w:val="000000" w:themeColor="text1"/>
          <w:kern w:val="36"/>
          <w:lang w:eastAsia="ru-RU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bCs/>
          <w:color w:val="000000" w:themeColor="text1"/>
          <w:kern w:val="36"/>
          <w:lang w:eastAsia="ru-RU"/>
          <w14:textFill>
            <w14:solidFill>
              <w14:schemeClr w14:val="tx1"/>
            </w14:solidFill>
          </w14:textFill>
        </w:rPr>
        <w:t>о предоставлении сведений</w:t>
      </w:r>
    </w:p>
    <w:p w14:paraId="780628B0">
      <w:pPr>
        <w:ind w:firstLine="0"/>
        <w:jc w:val="center"/>
        <w:outlineLvl w:val="0"/>
        <w:rPr>
          <w:rFonts w:ascii="Times New Roman" w:hAnsi="Times New Roman" w:eastAsia="Times New Roman" w:cs="Times New Roman"/>
          <w:bCs/>
          <w:color w:val="000000" w:themeColor="text1"/>
          <w:kern w:val="36"/>
          <w:lang w:eastAsia="ru-RU"/>
          <w14:textFill>
            <w14:solidFill>
              <w14:schemeClr w14:val="tx1"/>
            </w14:solidFill>
          </w14:textFill>
        </w:rPr>
      </w:pPr>
    </w:p>
    <w:p w14:paraId="444571E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Государственное учреждение </w:t>
      </w:r>
      <w:r>
        <w:rPr>
          <w:rFonts w:ascii="Times New Roman" w:hAnsi="Times New Roman" w:cs="Times New Roman"/>
          <w:color w:val="FF0000"/>
        </w:rPr>
        <w:t xml:space="preserve">«Центр по обеспечению деятельности бюджетных организаций администрации Первомайского района г. Минска» </w:t>
      </w:r>
      <w:r>
        <w:rPr>
          <w:rFonts w:ascii="Times New Roman" w:hAnsi="Times New Roman" w:cs="Times New Roman"/>
        </w:rPr>
        <w:t xml:space="preserve">в связи с необходимостью проведения закупки из одного источника на основании п. </w:t>
      </w:r>
      <w:r>
        <w:rPr>
          <w:rFonts w:hint="default" w:ascii="Times New Roman" w:hAnsi="Times New Roman" w:cs="Times New Roman"/>
          <w:lang w:val="ru-RU"/>
        </w:rPr>
        <w:t>9</w:t>
      </w:r>
      <w:r>
        <w:rPr>
          <w:rFonts w:ascii="Times New Roman" w:hAnsi="Times New Roman" w:cs="Times New Roman"/>
        </w:rPr>
        <w:t xml:space="preserve"> приложения к Закону Республики Беларусь от 13 июля 2012 г. № 419-З «О государственных закупках товаров (работ, услуг)», просит предоставить коммерческое (ценовое) предложение по следующим позициям:</w:t>
      </w:r>
    </w:p>
    <w:tbl>
      <w:tblPr>
        <w:tblStyle w:val="6"/>
        <w:tblpPr w:leftFromText="180" w:rightFromText="180" w:vertAnchor="text" w:horzAnchor="margin" w:tblpXSpec="center" w:tblpY="1"/>
        <w:tblW w:w="5000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06"/>
        <w:gridCol w:w="5214"/>
      </w:tblGrid>
      <w:tr w14:paraId="567CFD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C79CA21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Наименование заказчика,</w:t>
            </w:r>
          </w:p>
          <w:p w14:paraId="6F8E57CA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</w:p>
          <w:p w14:paraId="58F408F0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УНП заказчика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1D0FA6A">
            <w:pPr>
              <w:spacing w:line="233" w:lineRule="auto"/>
              <w:ind w:firstLine="0"/>
              <w:rPr>
                <w:rFonts w:ascii="Times New Roman" w:hAnsi="Times New Roman" w:eastAsia="Times New Roman" w:cs="Times New Roman"/>
                <w:color w:val="000000"/>
                <w:lang w:val="be-BY" w:eastAsia="ru-RU"/>
              </w:rPr>
            </w:pPr>
            <w:r>
              <w:rPr>
                <w:rFonts w:ascii="Times New Roman" w:hAnsi="Times New Roman" w:cs="Times New Roman"/>
              </w:rPr>
              <w:t xml:space="preserve">Государственное учреждение </w:t>
            </w:r>
            <w:r>
              <w:rPr>
                <w:rFonts w:ascii="Times New Roman" w:hAnsi="Times New Roman" w:cs="Times New Roman"/>
                <w:color w:val="FF0000"/>
              </w:rPr>
              <w:t>«Центр по обеспечению деятельности бюджетных организаций администрации Первомайского района г. Минска»</w:t>
            </w:r>
          </w:p>
          <w:p w14:paraId="7FB0FEF0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УНП 193402504</w:t>
            </w:r>
          </w:p>
        </w:tc>
      </w:tr>
      <w:tr w14:paraId="1A7DD0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E2C266C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Дата предоставления сведений о товарах и ценах на них (ответ на запрос)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162D62">
            <w:pPr>
              <w:spacing w:line="233" w:lineRule="auto"/>
              <w:ind w:firstLine="0"/>
              <w:jc w:val="left"/>
              <w:rPr>
                <w:rFonts w:hint="default" w:ascii="Times New Roman" w:hAnsi="Times New Roman" w:eastAsia="Times New Roman" w:cs="Times New Roman"/>
                <w:color w:val="000000" w:themeColor="text1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  <w:t>Информацию направлять на электронную торговую</w:t>
            </w:r>
            <w:r>
              <w:rPr>
                <w:rFonts w:hint="default" w:ascii="Times New Roman" w:hAnsi="Times New Roman" w:eastAsia="Times New Roman" w:cs="Times New Roman"/>
                <w:color w:val="000000" w:themeColor="text1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 xml:space="preserve"> площадку БУТБ</w:t>
            </w:r>
          </w:p>
        </w:tc>
      </w:tr>
      <w:tr w14:paraId="2E5694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24D1551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Предельная стоимость предмета государственной закупки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70926E5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color w:val="FF0000"/>
                <w:lang w:val="ru-RU" w:eastAsia="ru-RU"/>
              </w:rPr>
              <w:t xml:space="preserve">4 936 руб. 60 коп. </w:t>
            </w:r>
            <w:r>
              <w:rPr>
                <w:rFonts w:ascii="Times New Roman" w:hAnsi="Times New Roman" w:eastAsia="Times New Roman" w:cs="Times New Roman"/>
                <w:color w:val="FF0000"/>
                <w:lang w:eastAsia="ru-RU"/>
              </w:rPr>
              <w:t>с НДС</w:t>
            </w:r>
          </w:p>
        </w:tc>
      </w:tr>
      <w:tr w14:paraId="009B9B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1D6FA31">
            <w:pPr>
              <w:spacing w:line="233" w:lineRule="auto"/>
              <w:ind w:right="-107" w:firstLine="0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Требования к участникам, документы и (или) сведения для проверки требований к участникам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93ACAD">
            <w:pPr>
              <w:pStyle w:val="25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 участникам предъявляются следующие требования:</w:t>
            </w:r>
          </w:p>
          <w:p w14:paraId="4DDC887E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Соответствие требованиям, установленным законодательством к юридическому лицу, в том числе индивидуальному предпринимателю, осуществляющему поставку товаров, являющихся предметом государственной закупки.</w:t>
            </w:r>
          </w:p>
          <w:p w14:paraId="31C3EC60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свидетельством о государственной регистрации юридического лица или индивидуального предпринимателя для резидентов Республики Беларусь или выпиской из торгового реестра страны регистрации лица или иным эквивалентным доказательством юридического статуса в соответствии с законодательством страны регистрации для нерезидентов Республики Беларусь;</w:t>
            </w:r>
          </w:p>
          <w:p w14:paraId="21F3D5B2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Отсутствие у юридического лица или индивидуального предпринимателя задолженности по уплате налогов, сборов (пошлин), пеней, а также отсутствие у юридического лица или индивидуального предпринимателя, являющихся резидентами,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Беларусь. Данное требование не распространяется на юридическое лицо, в отношении которого возбуждено производство по делу о несостоятельности, а также на юридическое лицо или индивидуального предпринимателя, в отношении которых на дату подачи предложения в установленном Налоговым кодексом Республики Беларусь, иными законодательными актами порядке предоставлены отсрочка и (или) рассрочка по уплате налогов, сборов (пошлин), пеней, обязательных страховых взносов в бюджет государственного внебюджетного фонда социальной защиты населения Республики Беларусь, что подтверждается соответствующим заявлением участника.</w:t>
            </w:r>
          </w:p>
          <w:p w14:paraId="313FA6DC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 xml:space="preserve">Соответствие требованию подтверждается: </w:t>
            </w:r>
          </w:p>
          <w:p w14:paraId="509375D8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в отношении участников, являющихся резидентами, - путем проверки организатором таких сведений через официальные сайты Министерства по налогам и сборам, Фонда социальной защиты населения Министерства труда и социальной защиты в глобальной компьютерной сети Интернет на первое число месяца, в котором осуществляется рассмотрение предложения, а в случае отсутствия информации на указанную дату - на первое число месяца, предшествующего месяцу, в котором осуществляется рассмотрение предложения;</w:t>
            </w:r>
          </w:p>
          <w:p w14:paraId="7A1166D8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участниками, не являющимися резидентами, - документом об отсутствии задолженности по уплате налогов, сборов (пошлин), пеней, выданным уполномоченными органами в соответствии с законодательством страны, резидентом которой является участник, на последнюю отчетную дату, предшествующую дню подачи предложения, и заявлением с указанием последней отчетной даты;</w:t>
            </w:r>
          </w:p>
          <w:p w14:paraId="39A71297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sz w:val="20"/>
                <w:szCs w:val="20"/>
              </w:rPr>
            </w:pPr>
          </w:p>
          <w:p w14:paraId="4EAA523C">
            <w:pPr>
              <w:pStyle w:val="25"/>
              <w:jc w:val="both"/>
            </w:pPr>
            <w:r>
              <w:rPr>
                <w:rFonts w:ascii="Times New Roman" w:hAnsi="Times New Roman" w:cs="Times New Roman"/>
              </w:rPr>
              <w:t xml:space="preserve">3. Юридическое лицо, в том числе индивидуальный предприниматель, на дату подачи предложения не должно быть включено в список поставщиков (подрядчиков, исполнителей), временно не допускаемых к участию в процедурах государственных закупок. </w:t>
            </w:r>
            <w:r>
              <w:t xml:space="preserve"> </w:t>
            </w:r>
          </w:p>
          <w:p w14:paraId="501E4524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путем проверки оператором электронной торговой площадки списка, за исключением случая совместного участия в процедуре государственной закупки нескольких лиц в соответствии с пунктом 4 статьи 16 Закона. В данном случае соответствие настоящему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744802D6">
            <w:pPr>
              <w:pStyle w:val="25"/>
              <w:jc w:val="both"/>
            </w:pPr>
          </w:p>
          <w:p w14:paraId="4CAD23C2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Юридическое или физическое лицо, в том числе индивидуальный предприниматель, с учетом положений статьи 16-1 Закона Республики Беларусь от 13.07.2012 N 419-З "О государственных закупках товаров (работ, услуг)" (далее – Закон) не должно быть аффилировано с заказчиком, организатором.</w:t>
            </w:r>
          </w:p>
          <w:p w14:paraId="04B3B532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568588B6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Юридическое или физическое лицо, в том числе индивидуальный предприниматель, являющееся участником-победителем, с учетом положений статьи 16-1 Закона не должно быть аффилировано со всеми другими участниками (а если предмет государственной закупки разделен на части (лоты) - с участниками по той же части (лоту)), допущенными к оценке и сравнению предложений (к торгам при проведении электронного аукциона).</w:t>
            </w:r>
          </w:p>
          <w:p w14:paraId="082AED5A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Не позднее трех рабочих дней со дня уведомления участников о выборе участника-победителя последний обязан информировать организатора о том, что все участники (а если предмет государственной закупки разделен на части (лоты) - все участники по той же части (лоту)), допущенные к оценке и сравнению предложений (к торгам при проведении электронного аукциона), являются для него аффилированными лицами, либо о том, что среди таких участников имеется лицо, не аффилированное с ним. Соответствующая информация предоставляется участником-победителем в виде заявления по форме, установленной регламентом оператора электронной торговой площадки.</w:t>
            </w:r>
          </w:p>
          <w:p w14:paraId="1E6B192B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3136F17D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 Юридическое лицо, в том числе индивидуальный предприниматель, работник (работники) таких юридического лица или индивидуального предпринимателя не должны оказывать заказчику (организатору) услуги по организации и проведению процедуры государственной закупки, в том числе консультированию, а также формированию требований к предмету государственной закупки и (или) подготовке заключения по рассмотрению, оценке и сравнению предложений.</w:t>
            </w:r>
          </w:p>
          <w:p w14:paraId="1FA04D7E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41485F65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2CA768AB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 Юридическое лицо или индивидуальный предприниматель не должны являться заказчиком (организатором) проводимой процедуры государственной закупки.</w:t>
            </w:r>
          </w:p>
          <w:p w14:paraId="2FFF158C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04B44336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5DA6AA9B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 Юридическое лицо не должно находиться в процессе ликвидации, реорганизации (за исключением юридического лица, к которому присоединяется другое юридическое лицо), индивидуальный предприниматель не должен находиться в стадии прекращения деятельности.</w:t>
            </w:r>
          </w:p>
          <w:p w14:paraId="75F8C113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07AC5F0A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12D09C1B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 В отношении юридического лица и индивидуального предпринимателя не должно быть возбуждено производство по делу о банкротстве.</w:t>
            </w:r>
          </w:p>
          <w:p w14:paraId="56FC9AED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495D448B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713036ED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 Юридическое лицо, в том числе индивидуальный предприниматель, должно обладать правомочиями на реализацию товаров (выполнение работ, оказание услуг) на территории Республики Беларусь с использованием товарных знаков и знаков обслуживания в случае поставки товаров (выполнение работ, оказание услуг) с использованием товарных знаков и (или) знаков обслуживания.</w:t>
            </w:r>
          </w:p>
          <w:p w14:paraId="7F7647E7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684EC6EA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66F38A39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 Физическое лицо, в том числе индивидуальный предприниматель, - участник процедуры государственной закупки, лицо, осуществляющее полномочия единоличного исполнительного органа юридического лица - участника процедуры государственной закупки, и лицо, имеющее право давать такому юридическому лицу обязательные для исполнения указания на основании учредительных документов или заключенного договора, не должны считаться подвергавшимися административному взысканию за административные правонарушения, предусмотренные в частях 1, 7, 8 и 10 статьи 14.4, частях 4 и 5 статьи 14.5 Кодекса Республики Беларусь об административных правонарушениях;</w:t>
            </w:r>
          </w:p>
          <w:p w14:paraId="6AA54025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у участника процедуры государственной закупки - физического лица, в том числе индивидуального предпринимателя, не снятой или не погашенной в установленном порядке судимости за преступления, предусмотренные в статьях 209 - 212, 216, 235, 243 - 243-3, 424 - 426, 429 - 432 и 455 Уголовного кодекса Республики Беларусь;</w:t>
            </w:r>
          </w:p>
          <w:p w14:paraId="744D8E18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у лица, осуществляющего полномочия единоличного исполнительного органа юридического лица - участника процедуры государственной закупки, и лица, имеющего право давать такому юридическому лицу обязательные для исполнения указания на основании учредительных документов или заключенного договора, не снятой или не погашенной в установленном порядке судимости за преступления, предусмотренные в статьях 209 - 212, 216, 235, 243 - 243-3, 424 - 426, 429 - 432 и 455 Уголовного кодекса Республики Беларусь;</w:t>
            </w:r>
          </w:p>
          <w:p w14:paraId="34C2839C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юридическое лицо не должно считаться подвергавшимся административному взысканию за административное правонарушение, предусмотренное в статье 24.59 Кодекса Республики Беларусь об административных правонарушениях;</w:t>
            </w:r>
          </w:p>
          <w:p w14:paraId="5ACF64C0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физическое лицо, в том числе индивидуальный предприниматель, не должны быть включены в перечень граждан Республики Беларусь, иностранных граждан или лиц без гражданства, причастных к экстремистской деятельности;</w:t>
            </w:r>
          </w:p>
          <w:p w14:paraId="1020DC15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юридическое или физическое лицо, в том числе индивидуальный предприниматель, не должны быть включены в перечень организаций и физических лиц, в том числе индивидуальных предпринимателей, причастных к террористической деятельности;</w:t>
            </w:r>
          </w:p>
          <w:p w14:paraId="06FE9514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юридическое или физическое лицо, в том числе индивидуальный предприниматель, не должны быть включены в перечень организаций, формирований, индивидуальных предпринимателей, причастных к экстремистской деятельности.</w:t>
            </w:r>
          </w:p>
          <w:p w14:paraId="44CA5C52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 xml:space="preserve">                Соответствие данному требованию подтверждается заявлением участника, подписанным не ранее чем за пять рабочих дней до даты подачи предложения. Такое заявление подается по форме, установленной регламентом оператора электронной торговой площадки.</w:t>
            </w:r>
          </w:p>
        </w:tc>
      </w:tr>
      <w:tr w14:paraId="2F922C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5000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D408F98">
            <w:pPr>
              <w:pStyle w:val="25"/>
              <w:spacing w:line="233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Сведения о предмете государственной закупки</w:t>
            </w:r>
          </w:p>
        </w:tc>
      </w:tr>
    </w:tbl>
    <w:p w14:paraId="0B2139B4">
      <w:pPr>
        <w:ind w:firstLine="0"/>
        <w:jc w:val="center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>Лот №1</w:t>
      </w:r>
    </w:p>
    <w:tbl>
      <w:tblPr>
        <w:tblStyle w:val="6"/>
        <w:tblW w:w="1020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8"/>
        <w:gridCol w:w="5108"/>
      </w:tblGrid>
      <w:tr w14:paraId="5D76E7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5098" w:type="dxa"/>
          </w:tcPr>
          <w:p w14:paraId="0437F1E5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Наименование товаров (работ, услуг) </w:t>
            </w:r>
          </w:p>
        </w:tc>
        <w:tc>
          <w:tcPr>
            <w:tcW w:w="5108" w:type="dxa"/>
          </w:tcPr>
          <w:p w14:paraId="7DF210B5">
            <w:pPr>
              <w:spacing w:line="226" w:lineRule="auto"/>
              <w:ind w:firstLine="0"/>
              <w:rPr>
                <w:rFonts w:hint="default" w:ascii="Times New Roman" w:hAnsi="Times New Roman" w:cs="Times New Roman" w:eastAsiaTheme="minorEastAsia"/>
                <w:color w:val="FF0000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cs="Times New Roman" w:eastAsiaTheme="minorEastAsia"/>
                <w:color w:val="FF0000"/>
                <w:sz w:val="20"/>
                <w:szCs w:val="20"/>
                <w:lang w:val="en-US" w:eastAsia="ru-RU"/>
              </w:rPr>
              <w:t>Текущий ремонт канализационного колодца в государственном учреждении образования "Средняя школа № 137 г.Минска им. П.М. Машерова", ул.Калиновского,50/2</w:t>
            </w:r>
          </w:p>
        </w:tc>
      </w:tr>
      <w:tr w14:paraId="78AA43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492B4518">
            <w:pPr>
              <w:spacing w:line="226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Код по ОКРБ 007-2012</w:t>
            </w:r>
          </w:p>
        </w:tc>
        <w:tc>
          <w:tcPr>
            <w:tcW w:w="5108" w:type="dxa"/>
          </w:tcPr>
          <w:p w14:paraId="21C105DB">
            <w:pPr>
              <w:ind w:firstLine="0"/>
              <w:rPr>
                <w:rFonts w:ascii="Times New Roman" w:hAnsi="Times New Roman" w:cs="Times New Roman"/>
                <w:color w:val="FF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shd w:val="clear" w:color="auto" w:fill="FFFFFF"/>
              </w:rPr>
              <w:t>43.</w:t>
            </w:r>
            <w:r>
              <w:rPr>
                <w:rFonts w:hint="default" w:ascii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val="ru-RU"/>
              </w:rPr>
              <w:t>99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  <w:shd w:val="clear" w:color="auto" w:fill="FFFFFF"/>
              </w:rPr>
              <w:t>.</w:t>
            </w:r>
            <w:r>
              <w:rPr>
                <w:rFonts w:hint="default" w:ascii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val="ru-RU"/>
              </w:rPr>
              <w:t>40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  <w:shd w:val="clear" w:color="auto" w:fill="FFFFFF"/>
              </w:rPr>
              <w:t>.</w:t>
            </w:r>
            <w:r>
              <w:rPr>
                <w:rFonts w:hint="default" w:ascii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val="ru-RU"/>
              </w:rPr>
              <w:t>990</w:t>
            </w:r>
          </w:p>
        </w:tc>
      </w:tr>
      <w:tr w14:paraId="13818E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FA82798">
            <w:pPr>
              <w:spacing w:line="226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Наименование в соответствии с ОКРБ 007-2012</w:t>
            </w:r>
          </w:p>
        </w:tc>
        <w:tc>
          <w:tcPr>
            <w:tcW w:w="5108" w:type="dxa"/>
          </w:tcPr>
          <w:p w14:paraId="485881D7">
            <w:pPr>
              <w:spacing w:line="226" w:lineRule="auto"/>
              <w:ind w:firstLine="0"/>
              <w:rPr>
                <w:rFonts w:ascii="Times New Roman" w:hAnsi="Times New Roman" w:cs="Times New Roman"/>
                <w:color w:val="FF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shd w:val="clear" w:color="auto" w:fill="FFFFFF"/>
              </w:rPr>
              <w:t xml:space="preserve">Работы бетонные прочие, не включенные в другие группировки </w:t>
            </w:r>
          </w:p>
        </w:tc>
      </w:tr>
      <w:tr w14:paraId="05094C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BF6AC74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>Объем (количество)</w:t>
            </w:r>
          </w:p>
        </w:tc>
        <w:tc>
          <w:tcPr>
            <w:tcW w:w="5108" w:type="dxa"/>
          </w:tcPr>
          <w:p w14:paraId="25575831">
            <w:pPr>
              <w:ind w:firstLine="0"/>
              <w:rPr>
                <w:rFonts w:ascii="Times New Roman" w:hAnsi="Times New Roman" w:cs="Times New Roman" w:eastAsiaTheme="minorEastAsia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 w:eastAsiaTheme="minorEastAsia"/>
                <w:color w:val="FF0000"/>
                <w:sz w:val="20"/>
                <w:szCs w:val="20"/>
              </w:rPr>
              <w:t>1 ед</w:t>
            </w:r>
          </w:p>
        </w:tc>
      </w:tr>
      <w:tr w14:paraId="4262C5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46D424B1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>Срок (сроки) поставки товаров (выполнения работ, оказания услуг)</w:t>
            </w:r>
          </w:p>
        </w:tc>
        <w:tc>
          <w:tcPr>
            <w:tcW w:w="5108" w:type="dxa"/>
          </w:tcPr>
          <w:p w14:paraId="5DEF61B5">
            <w:pPr>
              <w:ind w:firstLine="0"/>
              <w:rPr>
                <w:rFonts w:hint="default" w:ascii="Times New Roman" w:hAnsi="Times New Roman" w:cs="Times New Roman" w:eastAsiaTheme="minorEastAsia"/>
                <w:color w:val="FF000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FF0000"/>
                <w:sz w:val="20"/>
                <w:szCs w:val="20"/>
                <w:lang w:val="ru-RU"/>
              </w:rPr>
              <w:t>7</w:t>
            </w:r>
            <w:bookmarkStart w:id="0" w:name="_GoBack"/>
            <w:bookmarkEnd w:id="0"/>
            <w:r>
              <w:rPr>
                <w:rFonts w:hint="default" w:ascii="Times New Roman" w:hAnsi="Times New Roman" w:cs="Times New Roman" w:eastAsiaTheme="minorEastAsia"/>
                <w:color w:val="FF0000"/>
                <w:sz w:val="20"/>
                <w:szCs w:val="20"/>
                <w:lang w:val="ru-RU"/>
              </w:rPr>
              <w:t xml:space="preserve"> календарных дней с даты заключения договора.</w:t>
            </w:r>
          </w:p>
        </w:tc>
      </w:tr>
      <w:tr w14:paraId="09780E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3F45415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>Место оказания услуг (выполнения работ)</w:t>
            </w:r>
          </w:p>
        </w:tc>
        <w:tc>
          <w:tcPr>
            <w:tcW w:w="5108" w:type="dxa"/>
          </w:tcPr>
          <w:p w14:paraId="422E5E21">
            <w:pPr>
              <w:spacing w:line="226" w:lineRule="auto"/>
              <w:ind w:firstLine="0"/>
              <w:rPr>
                <w:rFonts w:hint="default" w:ascii="Times New Roman" w:hAnsi="Times New Roman" w:cs="Times New Roman" w:eastAsiaTheme="minorEastAsia"/>
                <w:color w:val="FF0000"/>
                <w:sz w:val="20"/>
                <w:szCs w:val="20"/>
                <w:lang w:val="ru-RU" w:eastAsia="ru-RU"/>
              </w:rPr>
            </w:pPr>
            <w:r>
              <w:rPr>
                <w:rFonts w:hint="default" w:ascii="Times New Roman" w:hAnsi="Times New Roman" w:cs="Times New Roman" w:eastAsiaTheme="minorEastAsia"/>
                <w:color w:val="FF0000"/>
                <w:sz w:val="20"/>
                <w:szCs w:val="20"/>
                <w:lang w:val="en-US" w:eastAsia="ru-RU"/>
              </w:rPr>
              <w:t>ул.Калиновского,50/2</w:t>
            </w:r>
          </w:p>
        </w:tc>
      </w:tr>
      <w:tr w14:paraId="50AAFF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0E0A1FAC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Предельная стоимость государственной закупки </w:t>
            </w:r>
          </w:p>
        </w:tc>
        <w:tc>
          <w:tcPr>
            <w:tcW w:w="5108" w:type="dxa"/>
          </w:tcPr>
          <w:p w14:paraId="70BF2622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FF0000"/>
                <w:sz w:val="20"/>
                <w:szCs w:val="20"/>
                <w:lang w:val="ru-RU" w:eastAsia="ru-RU"/>
              </w:rPr>
              <w:t>4 936 руб. 60 коп.</w:t>
            </w:r>
            <w:r>
              <w:rPr>
                <w:rFonts w:ascii="Times New Roman" w:hAnsi="Times New Roman" w:eastAsia="Times New Roman" w:cs="Times New Roman"/>
                <w:color w:val="FF0000"/>
                <w:sz w:val="20"/>
                <w:szCs w:val="20"/>
                <w:lang w:eastAsia="ru-RU"/>
              </w:rPr>
              <w:t xml:space="preserve"> с НДС</w:t>
            </w:r>
          </w:p>
        </w:tc>
      </w:tr>
      <w:tr w14:paraId="0CA34E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7E66B332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>Источник финансирования государственной закупки</w:t>
            </w:r>
          </w:p>
        </w:tc>
        <w:tc>
          <w:tcPr>
            <w:tcW w:w="5108" w:type="dxa"/>
          </w:tcPr>
          <w:p w14:paraId="5D1F884B">
            <w:pPr>
              <w:widowControl w:val="0"/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FF0000"/>
                <w:sz w:val="20"/>
                <w:szCs w:val="20"/>
                <w:lang w:eastAsia="ru-RU"/>
              </w:rPr>
              <w:t>Местный бюджет</w:t>
            </w:r>
          </w:p>
        </w:tc>
      </w:tr>
      <w:tr w14:paraId="3DE724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  <w:jc w:val="center"/>
        </w:trPr>
        <w:tc>
          <w:tcPr>
            <w:tcW w:w="10206" w:type="dxa"/>
            <w:gridSpan w:val="2"/>
          </w:tcPr>
          <w:p w14:paraId="52A576B0">
            <w:pPr>
              <w:widowControl w:val="0"/>
              <w:spacing w:line="226" w:lineRule="auto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II. ОПИСАНИЕ ПРЕДМЕТА ГОСУДАРСТВЕННОЙ ЗАКУПКИ</w:t>
            </w:r>
          </w:p>
        </w:tc>
      </w:tr>
      <w:tr w14:paraId="50F02A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AD98824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Описание предмета государственной закупки, а также перечень документов и (или) сведений, подтверждающих соответствие предмету государственной закупки и требованиям к предмету государственной закупки</w:t>
            </w:r>
          </w:p>
        </w:tc>
        <w:tc>
          <w:tcPr>
            <w:tcW w:w="5108" w:type="dxa"/>
          </w:tcPr>
          <w:p w14:paraId="3087572F">
            <w:pPr>
              <w:pStyle w:val="25"/>
              <w:spacing w:line="226" w:lineRule="auto"/>
              <w:jc w:val="both"/>
              <w:rPr>
                <w:rFonts w:hint="default" w:ascii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hAnsi="Times New Roman" w:cs="Times New Roman"/>
                <w:color w:val="FF0000"/>
              </w:rPr>
              <w:t>Описание предмета закупки указано в техническом задании, дефектн</w:t>
            </w:r>
            <w:r>
              <w:rPr>
                <w:rFonts w:ascii="Times New Roman" w:hAnsi="Times New Roman" w:cs="Times New Roman"/>
                <w:color w:val="FF0000"/>
                <w:lang w:val="ru-RU"/>
              </w:rPr>
              <w:t>ом</w:t>
            </w:r>
            <w:r>
              <w:rPr>
                <w:rFonts w:ascii="Times New Roman" w:hAnsi="Times New Roman" w:cs="Times New Roman"/>
                <w:color w:val="FF0000"/>
              </w:rPr>
              <w:t xml:space="preserve"> акт</w:t>
            </w:r>
            <w:r>
              <w:rPr>
                <w:rFonts w:ascii="Times New Roman" w:hAnsi="Times New Roman" w:cs="Times New Roman"/>
                <w:color w:val="FF0000"/>
                <w:lang w:val="ru-RU"/>
              </w:rPr>
              <w:t>е</w:t>
            </w:r>
            <w:r>
              <w:rPr>
                <w:rFonts w:hint="default" w:ascii="Times New Roman" w:hAnsi="Times New Roman" w:cs="Times New Roman"/>
                <w:color w:val="FF0000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FF0000"/>
                <w:lang w:val="ru-RU"/>
              </w:rPr>
              <w:t>локальной</w:t>
            </w:r>
            <w:r>
              <w:rPr>
                <w:rFonts w:hint="default" w:ascii="Times New Roman" w:hAnsi="Times New Roman" w:cs="Times New Roman"/>
                <w:color w:val="FF0000"/>
                <w:lang w:val="ru-RU"/>
              </w:rPr>
              <w:t xml:space="preserve"> смете.</w:t>
            </w:r>
          </w:p>
          <w:p w14:paraId="6E9249C6">
            <w:pPr>
              <w:pStyle w:val="25"/>
              <w:spacing w:line="226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Гарантийный срок 5 лет.</w:t>
            </w:r>
          </w:p>
        </w:tc>
      </w:tr>
      <w:tr w14:paraId="1BC046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2F4E5CD5">
            <w:pPr>
              <w:spacing w:line="226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Порядок формирования цены предложения</w:t>
            </w:r>
          </w:p>
        </w:tc>
        <w:tc>
          <w:tcPr>
            <w:tcW w:w="5108" w:type="dxa"/>
          </w:tcPr>
          <w:p w14:paraId="420707EE">
            <w:pPr>
              <w:widowControl w:val="0"/>
              <w:spacing w:line="226" w:lineRule="auto"/>
              <w:ind w:firstLine="0"/>
              <w:rPr>
                <w:rFonts w:ascii="Times New Roman" w:hAnsi="Times New Roman" w:eastAsia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color w:val="FF0000"/>
                <w:sz w:val="20"/>
                <w:szCs w:val="20"/>
              </w:rPr>
              <w:t>В соответствии с техническим заданием</w:t>
            </w:r>
          </w:p>
        </w:tc>
      </w:tr>
    </w:tbl>
    <w:p w14:paraId="52EBDFF7">
      <w:pPr>
        <w:ind w:firstLine="0"/>
        <w:rPr>
          <w:rFonts w:ascii="Times New Roman" w:hAnsi="Times New Roman"/>
        </w:rPr>
      </w:pPr>
    </w:p>
    <w:p w14:paraId="01D1280B">
      <w:pPr>
        <w:ind w:firstLine="0"/>
        <w:rPr>
          <w:rFonts w:hint="default"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Начальник</w:t>
      </w:r>
      <w:r>
        <w:rPr>
          <w:rFonts w:hint="default" w:ascii="Times New Roman" w:hAnsi="Times New Roman"/>
          <w:lang w:val="ru-RU"/>
        </w:rPr>
        <w:t xml:space="preserve"> УЦХО </w:t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>И.С.Бугакова</w:t>
      </w:r>
    </w:p>
    <w:p w14:paraId="3DDBE1D4">
      <w:pPr>
        <w:ind w:firstLine="0"/>
        <w:rPr>
          <w:rFonts w:hint="default" w:ascii="Times New Roman" w:hAnsi="Times New Roman"/>
          <w:lang w:val="ru-RU"/>
        </w:rPr>
      </w:pPr>
    </w:p>
    <w:p w14:paraId="0B84E4D3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  <w:lang w:val="ru-RU"/>
        </w:rPr>
        <w:t>Зам</w:t>
      </w:r>
      <w:r>
        <w:rPr>
          <w:rFonts w:hint="default" w:ascii="Times New Roman" w:hAnsi="Times New Roman"/>
          <w:lang w:val="ru-RU"/>
        </w:rPr>
        <w:t xml:space="preserve"> начальника </w:t>
      </w:r>
      <w:r>
        <w:rPr>
          <w:rFonts w:ascii="Times New Roman" w:hAnsi="Times New Roman"/>
        </w:rPr>
        <w:t>УЦХО: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Ю.М.Заграбский</w:t>
      </w:r>
    </w:p>
    <w:p w14:paraId="76C73FBC">
      <w:pPr>
        <w:ind w:left="0" w:leftChars="0" w:firstLine="0" w:firstLineChars="0"/>
        <w:rPr>
          <w:rFonts w:hint="default" w:ascii="Times New Roman" w:hAnsi="Times New Roman"/>
          <w:sz w:val="16"/>
          <w:szCs w:val="16"/>
          <w:lang w:val="ru-RU"/>
        </w:rPr>
      </w:pPr>
      <w:r>
        <w:rPr>
          <w:rFonts w:ascii="Times New Roman" w:hAnsi="Times New Roman"/>
          <w:sz w:val="16"/>
          <w:szCs w:val="16"/>
          <w:lang w:val="ru-RU"/>
        </w:rPr>
        <w:t>Электронный</w:t>
      </w:r>
      <w:r>
        <w:rPr>
          <w:rFonts w:hint="default" w:ascii="Times New Roman" w:hAnsi="Times New Roman"/>
          <w:sz w:val="16"/>
          <w:szCs w:val="16"/>
          <w:lang w:val="ru-RU"/>
        </w:rPr>
        <w:t xml:space="preserve"> документ соответствует оригиналу</w:t>
      </w:r>
    </w:p>
    <w:p w14:paraId="2383023D">
      <w:pPr>
        <w:widowControl w:val="0"/>
        <w:tabs>
          <w:tab w:val="left" w:pos="1120"/>
        </w:tabs>
        <w:adjustRightInd w:val="0"/>
        <w:ind w:firstLine="0"/>
        <w:rPr>
          <w:rFonts w:ascii="Times New Roman" w:hAnsi="Times New Roman" w:eastAsia="Times New Roman" w:cs="Times New Roman"/>
          <w:color w:val="000000"/>
          <w:lang w:eastAsia="ru-RU"/>
        </w:rPr>
      </w:pPr>
    </w:p>
    <w:p w14:paraId="0B425315">
      <w:pPr>
        <w:widowControl w:val="0"/>
        <w:tabs>
          <w:tab w:val="left" w:pos="1120"/>
        </w:tabs>
        <w:adjustRightInd w:val="0"/>
        <w:ind w:firstLine="0"/>
        <w:rPr>
          <w:rFonts w:ascii="Times New Roman" w:hAnsi="Times New Roman" w:eastAsia="Times New Roman" w:cs="Times New Roman"/>
          <w:color w:val="000000"/>
          <w:lang w:eastAsia="ru-RU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454" w:right="851" w:bottom="425" w:left="851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等线 Light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iberation Mono">
    <w:panose1 w:val="02070409020205020404"/>
    <w:charset w:val="00"/>
    <w:family w:val="auto"/>
    <w:pitch w:val="default"/>
    <w:sig w:usb0="E0000AFF" w:usb1="400078FF" w:usb2="00000001" w:usb3="00000000" w:csb0="600001BF" w:csb1="DFF7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656529162"/>
      <w:docPartObj>
        <w:docPartGallery w:val="autotext"/>
      </w:docPartObj>
    </w:sdtPr>
    <w:sdtContent>
      <w:p w14:paraId="5654ACDB">
        <w:pPr>
          <w:pStyle w:val="12"/>
          <w:jc w:val="center"/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t>5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D0FC25F">
    <w:pPr>
      <w:pStyle w:val="1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D535AD">
    <w:pPr>
      <w:pStyle w:val="1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CED5F4">
    <w:pPr>
      <w:pStyle w:val="1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3A9F9B">
    <w:pPr>
      <w:pStyle w:val="1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487ACE">
    <w:pPr>
      <w:pStyle w:val="1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836B50">
    <w:pPr>
      <w:pStyle w:val="1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7E7"/>
    <w:rsid w:val="00000BDF"/>
    <w:rsid w:val="00004257"/>
    <w:rsid w:val="00011C49"/>
    <w:rsid w:val="000158A1"/>
    <w:rsid w:val="0002304B"/>
    <w:rsid w:val="0003200C"/>
    <w:rsid w:val="00032CC4"/>
    <w:rsid w:val="00033380"/>
    <w:rsid w:val="00033B98"/>
    <w:rsid w:val="00035BEA"/>
    <w:rsid w:val="00036B8A"/>
    <w:rsid w:val="00046EAC"/>
    <w:rsid w:val="000561E9"/>
    <w:rsid w:val="00056916"/>
    <w:rsid w:val="000627CE"/>
    <w:rsid w:val="00066FFF"/>
    <w:rsid w:val="000674B7"/>
    <w:rsid w:val="000707B5"/>
    <w:rsid w:val="000726FC"/>
    <w:rsid w:val="00072950"/>
    <w:rsid w:val="00073C6B"/>
    <w:rsid w:val="000750F6"/>
    <w:rsid w:val="000834D3"/>
    <w:rsid w:val="000C1BC1"/>
    <w:rsid w:val="000C1D61"/>
    <w:rsid w:val="000C3F09"/>
    <w:rsid w:val="000C4CE5"/>
    <w:rsid w:val="000C5A06"/>
    <w:rsid w:val="000C6776"/>
    <w:rsid w:val="000E0319"/>
    <w:rsid w:val="00101286"/>
    <w:rsid w:val="00106FD9"/>
    <w:rsid w:val="0011065A"/>
    <w:rsid w:val="00117080"/>
    <w:rsid w:val="00124C02"/>
    <w:rsid w:val="0012702E"/>
    <w:rsid w:val="001320FA"/>
    <w:rsid w:val="00154D06"/>
    <w:rsid w:val="001557CF"/>
    <w:rsid w:val="00173C42"/>
    <w:rsid w:val="001740F1"/>
    <w:rsid w:val="001756FD"/>
    <w:rsid w:val="00180862"/>
    <w:rsid w:val="0018617F"/>
    <w:rsid w:val="00186449"/>
    <w:rsid w:val="001910CD"/>
    <w:rsid w:val="001A2953"/>
    <w:rsid w:val="001A771A"/>
    <w:rsid w:val="001A7A68"/>
    <w:rsid w:val="001B1321"/>
    <w:rsid w:val="001B2723"/>
    <w:rsid w:val="001B27FF"/>
    <w:rsid w:val="001C24DA"/>
    <w:rsid w:val="001C29D7"/>
    <w:rsid w:val="001C2B80"/>
    <w:rsid w:val="001C3996"/>
    <w:rsid w:val="001C3AEF"/>
    <w:rsid w:val="001C577B"/>
    <w:rsid w:val="001D2D95"/>
    <w:rsid w:val="001D5B9B"/>
    <w:rsid w:val="001E1B90"/>
    <w:rsid w:val="001F0AF8"/>
    <w:rsid w:val="00205E59"/>
    <w:rsid w:val="00216BD8"/>
    <w:rsid w:val="002206D4"/>
    <w:rsid w:val="0022079F"/>
    <w:rsid w:val="002258E8"/>
    <w:rsid w:val="0022637B"/>
    <w:rsid w:val="0023046D"/>
    <w:rsid w:val="00233D7F"/>
    <w:rsid w:val="00233F90"/>
    <w:rsid w:val="002343C9"/>
    <w:rsid w:val="00237AAB"/>
    <w:rsid w:val="0024304B"/>
    <w:rsid w:val="00245B67"/>
    <w:rsid w:val="00246FE9"/>
    <w:rsid w:val="002470A2"/>
    <w:rsid w:val="00255E75"/>
    <w:rsid w:val="0026238E"/>
    <w:rsid w:val="00262586"/>
    <w:rsid w:val="00266838"/>
    <w:rsid w:val="002830B4"/>
    <w:rsid w:val="00291E1D"/>
    <w:rsid w:val="00293A0E"/>
    <w:rsid w:val="00293FA0"/>
    <w:rsid w:val="002C36C3"/>
    <w:rsid w:val="002C66EE"/>
    <w:rsid w:val="002C6AEE"/>
    <w:rsid w:val="002D4C58"/>
    <w:rsid w:val="002D7FDF"/>
    <w:rsid w:val="002F22B3"/>
    <w:rsid w:val="002F23B0"/>
    <w:rsid w:val="002F3545"/>
    <w:rsid w:val="002F41B8"/>
    <w:rsid w:val="002F528C"/>
    <w:rsid w:val="002F6F4D"/>
    <w:rsid w:val="003020E9"/>
    <w:rsid w:val="0031300A"/>
    <w:rsid w:val="00316806"/>
    <w:rsid w:val="00316EAB"/>
    <w:rsid w:val="00320D04"/>
    <w:rsid w:val="00322B3A"/>
    <w:rsid w:val="00322CBD"/>
    <w:rsid w:val="0032343E"/>
    <w:rsid w:val="00323599"/>
    <w:rsid w:val="003266FB"/>
    <w:rsid w:val="00336207"/>
    <w:rsid w:val="00344BDE"/>
    <w:rsid w:val="00362014"/>
    <w:rsid w:val="00365B28"/>
    <w:rsid w:val="003708B6"/>
    <w:rsid w:val="003824A6"/>
    <w:rsid w:val="0039181F"/>
    <w:rsid w:val="00391F65"/>
    <w:rsid w:val="003A17A1"/>
    <w:rsid w:val="003B6E4C"/>
    <w:rsid w:val="003C1D41"/>
    <w:rsid w:val="003C51F6"/>
    <w:rsid w:val="003D3D07"/>
    <w:rsid w:val="003D3DE7"/>
    <w:rsid w:val="003D4A42"/>
    <w:rsid w:val="003D7643"/>
    <w:rsid w:val="003E4E21"/>
    <w:rsid w:val="003E56AF"/>
    <w:rsid w:val="003E6647"/>
    <w:rsid w:val="003F02C6"/>
    <w:rsid w:val="003F1327"/>
    <w:rsid w:val="003F195C"/>
    <w:rsid w:val="003F3EC5"/>
    <w:rsid w:val="00401036"/>
    <w:rsid w:val="0040261B"/>
    <w:rsid w:val="00416163"/>
    <w:rsid w:val="004172DF"/>
    <w:rsid w:val="0041756F"/>
    <w:rsid w:val="00425129"/>
    <w:rsid w:val="00440750"/>
    <w:rsid w:val="00441221"/>
    <w:rsid w:val="00441327"/>
    <w:rsid w:val="00444C74"/>
    <w:rsid w:val="00446FC5"/>
    <w:rsid w:val="00447A1E"/>
    <w:rsid w:val="0045402E"/>
    <w:rsid w:val="004543B2"/>
    <w:rsid w:val="004551CB"/>
    <w:rsid w:val="004558D0"/>
    <w:rsid w:val="00463A70"/>
    <w:rsid w:val="00471685"/>
    <w:rsid w:val="00473AAC"/>
    <w:rsid w:val="00474EF0"/>
    <w:rsid w:val="004755C5"/>
    <w:rsid w:val="00483376"/>
    <w:rsid w:val="00483E50"/>
    <w:rsid w:val="004854C1"/>
    <w:rsid w:val="00495089"/>
    <w:rsid w:val="004A0125"/>
    <w:rsid w:val="004A0AAD"/>
    <w:rsid w:val="004A1C21"/>
    <w:rsid w:val="004A35BF"/>
    <w:rsid w:val="004C4D51"/>
    <w:rsid w:val="004C666F"/>
    <w:rsid w:val="004C740E"/>
    <w:rsid w:val="004D3DC4"/>
    <w:rsid w:val="004E07CB"/>
    <w:rsid w:val="004E1517"/>
    <w:rsid w:val="004E5239"/>
    <w:rsid w:val="004F187E"/>
    <w:rsid w:val="005035F6"/>
    <w:rsid w:val="00506539"/>
    <w:rsid w:val="00510AB1"/>
    <w:rsid w:val="00510B79"/>
    <w:rsid w:val="00511ED3"/>
    <w:rsid w:val="005149B3"/>
    <w:rsid w:val="00515DAF"/>
    <w:rsid w:val="0051668B"/>
    <w:rsid w:val="00520F64"/>
    <w:rsid w:val="00521F0C"/>
    <w:rsid w:val="00524499"/>
    <w:rsid w:val="00525482"/>
    <w:rsid w:val="00532E61"/>
    <w:rsid w:val="00535332"/>
    <w:rsid w:val="005414CC"/>
    <w:rsid w:val="00545954"/>
    <w:rsid w:val="005469BF"/>
    <w:rsid w:val="005476D4"/>
    <w:rsid w:val="00547BAD"/>
    <w:rsid w:val="00553574"/>
    <w:rsid w:val="00563F29"/>
    <w:rsid w:val="005652CB"/>
    <w:rsid w:val="00566E42"/>
    <w:rsid w:val="005705CB"/>
    <w:rsid w:val="005762E4"/>
    <w:rsid w:val="00576F23"/>
    <w:rsid w:val="00577B41"/>
    <w:rsid w:val="005800C0"/>
    <w:rsid w:val="0058148D"/>
    <w:rsid w:val="00583ED1"/>
    <w:rsid w:val="0058686D"/>
    <w:rsid w:val="0059096B"/>
    <w:rsid w:val="00591C24"/>
    <w:rsid w:val="00591FD3"/>
    <w:rsid w:val="005948C2"/>
    <w:rsid w:val="00595F02"/>
    <w:rsid w:val="005A025C"/>
    <w:rsid w:val="005A108E"/>
    <w:rsid w:val="005B0A1A"/>
    <w:rsid w:val="005B2A13"/>
    <w:rsid w:val="005B3D59"/>
    <w:rsid w:val="005C4F0F"/>
    <w:rsid w:val="005C55D0"/>
    <w:rsid w:val="005D0C17"/>
    <w:rsid w:val="005D31DE"/>
    <w:rsid w:val="005D63A7"/>
    <w:rsid w:val="005D70B6"/>
    <w:rsid w:val="00605344"/>
    <w:rsid w:val="00610EEF"/>
    <w:rsid w:val="00611710"/>
    <w:rsid w:val="0061591C"/>
    <w:rsid w:val="00617302"/>
    <w:rsid w:val="00620BF5"/>
    <w:rsid w:val="00622818"/>
    <w:rsid w:val="00624394"/>
    <w:rsid w:val="00635150"/>
    <w:rsid w:val="006404C4"/>
    <w:rsid w:val="00641707"/>
    <w:rsid w:val="00657BF8"/>
    <w:rsid w:val="00660C4E"/>
    <w:rsid w:val="006643AD"/>
    <w:rsid w:val="00670E6A"/>
    <w:rsid w:val="00673D38"/>
    <w:rsid w:val="0067493A"/>
    <w:rsid w:val="00674BED"/>
    <w:rsid w:val="00681709"/>
    <w:rsid w:val="00681D1D"/>
    <w:rsid w:val="006952A8"/>
    <w:rsid w:val="00696E13"/>
    <w:rsid w:val="006976A5"/>
    <w:rsid w:val="006A4081"/>
    <w:rsid w:val="006C6267"/>
    <w:rsid w:val="006C6DFF"/>
    <w:rsid w:val="006D4024"/>
    <w:rsid w:val="006D5330"/>
    <w:rsid w:val="006E1D63"/>
    <w:rsid w:val="006E2D3F"/>
    <w:rsid w:val="006F51F4"/>
    <w:rsid w:val="006F5C1F"/>
    <w:rsid w:val="007070A0"/>
    <w:rsid w:val="00707BFA"/>
    <w:rsid w:val="00721387"/>
    <w:rsid w:val="0072338B"/>
    <w:rsid w:val="0073294A"/>
    <w:rsid w:val="00737A34"/>
    <w:rsid w:val="00745C56"/>
    <w:rsid w:val="00747221"/>
    <w:rsid w:val="00763173"/>
    <w:rsid w:val="00765F34"/>
    <w:rsid w:val="00767673"/>
    <w:rsid w:val="007765BB"/>
    <w:rsid w:val="00784A5C"/>
    <w:rsid w:val="00786503"/>
    <w:rsid w:val="00787C9F"/>
    <w:rsid w:val="007914F5"/>
    <w:rsid w:val="007A0CC0"/>
    <w:rsid w:val="007A3B3C"/>
    <w:rsid w:val="007B2CED"/>
    <w:rsid w:val="007B7F47"/>
    <w:rsid w:val="007C21B1"/>
    <w:rsid w:val="007C2E74"/>
    <w:rsid w:val="007D1A0E"/>
    <w:rsid w:val="007D690D"/>
    <w:rsid w:val="007D7E86"/>
    <w:rsid w:val="007E1C62"/>
    <w:rsid w:val="007E57DF"/>
    <w:rsid w:val="007E6570"/>
    <w:rsid w:val="007F192C"/>
    <w:rsid w:val="0080246E"/>
    <w:rsid w:val="0082564E"/>
    <w:rsid w:val="008316A3"/>
    <w:rsid w:val="008325FF"/>
    <w:rsid w:val="008328E8"/>
    <w:rsid w:val="00834343"/>
    <w:rsid w:val="008411A2"/>
    <w:rsid w:val="00842130"/>
    <w:rsid w:val="00850155"/>
    <w:rsid w:val="0085395C"/>
    <w:rsid w:val="00855155"/>
    <w:rsid w:val="008613E5"/>
    <w:rsid w:val="00865403"/>
    <w:rsid w:val="00871200"/>
    <w:rsid w:val="00873A69"/>
    <w:rsid w:val="008753C3"/>
    <w:rsid w:val="0087668A"/>
    <w:rsid w:val="00876E7A"/>
    <w:rsid w:val="0088646C"/>
    <w:rsid w:val="00886B0E"/>
    <w:rsid w:val="00892E2C"/>
    <w:rsid w:val="0089324D"/>
    <w:rsid w:val="008967FF"/>
    <w:rsid w:val="008A5885"/>
    <w:rsid w:val="008B3252"/>
    <w:rsid w:val="008B54E9"/>
    <w:rsid w:val="008B68C1"/>
    <w:rsid w:val="008D39B9"/>
    <w:rsid w:val="008D3F3C"/>
    <w:rsid w:val="008E0FA2"/>
    <w:rsid w:val="008E4C0F"/>
    <w:rsid w:val="00900DE4"/>
    <w:rsid w:val="00914781"/>
    <w:rsid w:val="0092129B"/>
    <w:rsid w:val="00925B32"/>
    <w:rsid w:val="00930ADA"/>
    <w:rsid w:val="009333A9"/>
    <w:rsid w:val="00933925"/>
    <w:rsid w:val="009341A8"/>
    <w:rsid w:val="00941097"/>
    <w:rsid w:val="00954AC2"/>
    <w:rsid w:val="00954E5A"/>
    <w:rsid w:val="00955B1F"/>
    <w:rsid w:val="0096780A"/>
    <w:rsid w:val="009765F4"/>
    <w:rsid w:val="00990E0B"/>
    <w:rsid w:val="00993669"/>
    <w:rsid w:val="00994CA1"/>
    <w:rsid w:val="009A2C90"/>
    <w:rsid w:val="009A3D53"/>
    <w:rsid w:val="009A5414"/>
    <w:rsid w:val="009B1A87"/>
    <w:rsid w:val="009B6F42"/>
    <w:rsid w:val="009C1162"/>
    <w:rsid w:val="009C1720"/>
    <w:rsid w:val="009C59D4"/>
    <w:rsid w:val="009D4B0A"/>
    <w:rsid w:val="009E1709"/>
    <w:rsid w:val="009E462A"/>
    <w:rsid w:val="009F348A"/>
    <w:rsid w:val="009F3B5A"/>
    <w:rsid w:val="009F47E7"/>
    <w:rsid w:val="009F6F0F"/>
    <w:rsid w:val="00A073E5"/>
    <w:rsid w:val="00A1480A"/>
    <w:rsid w:val="00A162B2"/>
    <w:rsid w:val="00A1731E"/>
    <w:rsid w:val="00A27044"/>
    <w:rsid w:val="00A33515"/>
    <w:rsid w:val="00A427E4"/>
    <w:rsid w:val="00A474BC"/>
    <w:rsid w:val="00A522F0"/>
    <w:rsid w:val="00A55AB5"/>
    <w:rsid w:val="00A56394"/>
    <w:rsid w:val="00A623D3"/>
    <w:rsid w:val="00A712EA"/>
    <w:rsid w:val="00A73080"/>
    <w:rsid w:val="00A85884"/>
    <w:rsid w:val="00A916D1"/>
    <w:rsid w:val="00AA08C7"/>
    <w:rsid w:val="00AA2C9F"/>
    <w:rsid w:val="00AB011A"/>
    <w:rsid w:val="00AB3F80"/>
    <w:rsid w:val="00AB5DAD"/>
    <w:rsid w:val="00AC5120"/>
    <w:rsid w:val="00AD555B"/>
    <w:rsid w:val="00AE17DD"/>
    <w:rsid w:val="00AF21D5"/>
    <w:rsid w:val="00AF2DCF"/>
    <w:rsid w:val="00B0039C"/>
    <w:rsid w:val="00B018DD"/>
    <w:rsid w:val="00B06013"/>
    <w:rsid w:val="00B06614"/>
    <w:rsid w:val="00B06DA8"/>
    <w:rsid w:val="00B121A9"/>
    <w:rsid w:val="00B12B97"/>
    <w:rsid w:val="00B20122"/>
    <w:rsid w:val="00B23446"/>
    <w:rsid w:val="00B302DF"/>
    <w:rsid w:val="00B31FAB"/>
    <w:rsid w:val="00B34A3B"/>
    <w:rsid w:val="00B3643F"/>
    <w:rsid w:val="00B37D65"/>
    <w:rsid w:val="00B4276E"/>
    <w:rsid w:val="00B451CB"/>
    <w:rsid w:val="00B47CBC"/>
    <w:rsid w:val="00B50999"/>
    <w:rsid w:val="00B51072"/>
    <w:rsid w:val="00B55443"/>
    <w:rsid w:val="00B62949"/>
    <w:rsid w:val="00B62FBC"/>
    <w:rsid w:val="00B63472"/>
    <w:rsid w:val="00B670F7"/>
    <w:rsid w:val="00B76848"/>
    <w:rsid w:val="00B802A0"/>
    <w:rsid w:val="00B86566"/>
    <w:rsid w:val="00BA60B6"/>
    <w:rsid w:val="00BA7B5C"/>
    <w:rsid w:val="00BB287F"/>
    <w:rsid w:val="00BB4A1E"/>
    <w:rsid w:val="00BB5DC3"/>
    <w:rsid w:val="00BB6928"/>
    <w:rsid w:val="00BB6AC5"/>
    <w:rsid w:val="00BC3024"/>
    <w:rsid w:val="00BC6327"/>
    <w:rsid w:val="00BD15CF"/>
    <w:rsid w:val="00BD26E9"/>
    <w:rsid w:val="00BD5037"/>
    <w:rsid w:val="00BD637C"/>
    <w:rsid w:val="00BD67C8"/>
    <w:rsid w:val="00BD6F97"/>
    <w:rsid w:val="00BE0616"/>
    <w:rsid w:val="00BE4298"/>
    <w:rsid w:val="00BE6A94"/>
    <w:rsid w:val="00BF39EB"/>
    <w:rsid w:val="00BF3BBC"/>
    <w:rsid w:val="00BF3F2E"/>
    <w:rsid w:val="00BF7E2A"/>
    <w:rsid w:val="00C055B7"/>
    <w:rsid w:val="00C205CC"/>
    <w:rsid w:val="00C23B3C"/>
    <w:rsid w:val="00C25BAB"/>
    <w:rsid w:val="00C31727"/>
    <w:rsid w:val="00C5028E"/>
    <w:rsid w:val="00C52A5F"/>
    <w:rsid w:val="00C53ACC"/>
    <w:rsid w:val="00C560B4"/>
    <w:rsid w:val="00C66B21"/>
    <w:rsid w:val="00C70608"/>
    <w:rsid w:val="00C8456B"/>
    <w:rsid w:val="00C868D7"/>
    <w:rsid w:val="00CA1655"/>
    <w:rsid w:val="00CB7802"/>
    <w:rsid w:val="00CC121B"/>
    <w:rsid w:val="00CD322C"/>
    <w:rsid w:val="00CD323F"/>
    <w:rsid w:val="00CE1BC9"/>
    <w:rsid w:val="00CF3599"/>
    <w:rsid w:val="00CF7D26"/>
    <w:rsid w:val="00D0365A"/>
    <w:rsid w:val="00D04736"/>
    <w:rsid w:val="00D2314A"/>
    <w:rsid w:val="00D27DB8"/>
    <w:rsid w:val="00D301C7"/>
    <w:rsid w:val="00D32819"/>
    <w:rsid w:val="00D44BDD"/>
    <w:rsid w:val="00D4565C"/>
    <w:rsid w:val="00D5113E"/>
    <w:rsid w:val="00D54E2D"/>
    <w:rsid w:val="00D5631A"/>
    <w:rsid w:val="00D56451"/>
    <w:rsid w:val="00D56A45"/>
    <w:rsid w:val="00D61EF4"/>
    <w:rsid w:val="00D62E7C"/>
    <w:rsid w:val="00D66AB6"/>
    <w:rsid w:val="00D67732"/>
    <w:rsid w:val="00D75B65"/>
    <w:rsid w:val="00D76FCF"/>
    <w:rsid w:val="00D8031D"/>
    <w:rsid w:val="00D83E28"/>
    <w:rsid w:val="00D87B56"/>
    <w:rsid w:val="00D951A3"/>
    <w:rsid w:val="00DA0BA2"/>
    <w:rsid w:val="00DA1F16"/>
    <w:rsid w:val="00DB1F0B"/>
    <w:rsid w:val="00DB24D3"/>
    <w:rsid w:val="00DB321F"/>
    <w:rsid w:val="00DC11E7"/>
    <w:rsid w:val="00DC4591"/>
    <w:rsid w:val="00DC77E8"/>
    <w:rsid w:val="00DD1150"/>
    <w:rsid w:val="00DD3A24"/>
    <w:rsid w:val="00DE6AF8"/>
    <w:rsid w:val="00DF35F2"/>
    <w:rsid w:val="00DF410F"/>
    <w:rsid w:val="00DF4DEF"/>
    <w:rsid w:val="00E028B9"/>
    <w:rsid w:val="00E03E27"/>
    <w:rsid w:val="00E04E64"/>
    <w:rsid w:val="00E10FEF"/>
    <w:rsid w:val="00E1294D"/>
    <w:rsid w:val="00E21CAD"/>
    <w:rsid w:val="00E23D6D"/>
    <w:rsid w:val="00E30DC9"/>
    <w:rsid w:val="00E30EC3"/>
    <w:rsid w:val="00E37C47"/>
    <w:rsid w:val="00E400CD"/>
    <w:rsid w:val="00E45286"/>
    <w:rsid w:val="00E45421"/>
    <w:rsid w:val="00E5159F"/>
    <w:rsid w:val="00E56F58"/>
    <w:rsid w:val="00E66FA9"/>
    <w:rsid w:val="00E6764F"/>
    <w:rsid w:val="00E710E6"/>
    <w:rsid w:val="00E74EE4"/>
    <w:rsid w:val="00E83B15"/>
    <w:rsid w:val="00E90393"/>
    <w:rsid w:val="00E91DDF"/>
    <w:rsid w:val="00E95329"/>
    <w:rsid w:val="00EA1017"/>
    <w:rsid w:val="00EA2280"/>
    <w:rsid w:val="00EA3E6F"/>
    <w:rsid w:val="00EA5C67"/>
    <w:rsid w:val="00EB0799"/>
    <w:rsid w:val="00EB1E29"/>
    <w:rsid w:val="00EB5132"/>
    <w:rsid w:val="00EB6338"/>
    <w:rsid w:val="00EB7068"/>
    <w:rsid w:val="00EB7FD0"/>
    <w:rsid w:val="00EC0121"/>
    <w:rsid w:val="00EC3382"/>
    <w:rsid w:val="00EC4436"/>
    <w:rsid w:val="00EC5205"/>
    <w:rsid w:val="00EC6026"/>
    <w:rsid w:val="00ED0125"/>
    <w:rsid w:val="00EE2730"/>
    <w:rsid w:val="00EE6739"/>
    <w:rsid w:val="00EF24FF"/>
    <w:rsid w:val="00EF3F93"/>
    <w:rsid w:val="00EF53AC"/>
    <w:rsid w:val="00F03F31"/>
    <w:rsid w:val="00F04073"/>
    <w:rsid w:val="00F04BF5"/>
    <w:rsid w:val="00F05786"/>
    <w:rsid w:val="00F126CB"/>
    <w:rsid w:val="00F16A4F"/>
    <w:rsid w:val="00F17968"/>
    <w:rsid w:val="00F226B3"/>
    <w:rsid w:val="00F2586A"/>
    <w:rsid w:val="00F3240A"/>
    <w:rsid w:val="00F337D8"/>
    <w:rsid w:val="00F343BF"/>
    <w:rsid w:val="00F507EF"/>
    <w:rsid w:val="00F6038E"/>
    <w:rsid w:val="00F614B0"/>
    <w:rsid w:val="00F61613"/>
    <w:rsid w:val="00F6308A"/>
    <w:rsid w:val="00F66D2A"/>
    <w:rsid w:val="00F67B91"/>
    <w:rsid w:val="00F700A5"/>
    <w:rsid w:val="00F75F27"/>
    <w:rsid w:val="00F7674E"/>
    <w:rsid w:val="00F775B2"/>
    <w:rsid w:val="00F80E7C"/>
    <w:rsid w:val="00F92D0C"/>
    <w:rsid w:val="00F948F8"/>
    <w:rsid w:val="00FA0E5E"/>
    <w:rsid w:val="00FA12E8"/>
    <w:rsid w:val="00FA2161"/>
    <w:rsid w:val="00FA384C"/>
    <w:rsid w:val="00FB5C6D"/>
    <w:rsid w:val="00FB6E14"/>
    <w:rsid w:val="00FC1BEE"/>
    <w:rsid w:val="00FC4123"/>
    <w:rsid w:val="00FC7D2E"/>
    <w:rsid w:val="00FD16F5"/>
    <w:rsid w:val="00FD1AAF"/>
    <w:rsid w:val="00FE0D2D"/>
    <w:rsid w:val="00FE107E"/>
    <w:rsid w:val="00FE4E53"/>
    <w:rsid w:val="00FF1A53"/>
    <w:rsid w:val="00FF5233"/>
    <w:rsid w:val="121D5FFD"/>
    <w:rsid w:val="19436815"/>
    <w:rsid w:val="1BB325F9"/>
    <w:rsid w:val="223E233F"/>
    <w:rsid w:val="260A4874"/>
    <w:rsid w:val="26E47708"/>
    <w:rsid w:val="275B581B"/>
    <w:rsid w:val="2DE822F6"/>
    <w:rsid w:val="2F57083E"/>
    <w:rsid w:val="328F78C4"/>
    <w:rsid w:val="32F35FA8"/>
    <w:rsid w:val="34335EBC"/>
    <w:rsid w:val="383B41D7"/>
    <w:rsid w:val="39D816A9"/>
    <w:rsid w:val="3F9D68A2"/>
    <w:rsid w:val="3FF765BE"/>
    <w:rsid w:val="40B64B14"/>
    <w:rsid w:val="41D51CA8"/>
    <w:rsid w:val="42056205"/>
    <w:rsid w:val="43BF5FAF"/>
    <w:rsid w:val="4D343F67"/>
    <w:rsid w:val="608E6DA8"/>
    <w:rsid w:val="6D36292E"/>
    <w:rsid w:val="7A465E0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qFormat="1" w:uiPriority="99" w:semiHidden="0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firstLine="709"/>
      <w:jc w:val="both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2F5597" w:themeColor="accent1" w:themeShade="BF"/>
      <w:sz w:val="28"/>
      <w:szCs w:val="28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472C4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35"/>
    <w:semiHidden/>
    <w:unhideWhenUsed/>
    <w:qFormat/>
    <w:uiPriority w:val="9"/>
    <w:pPr>
      <w:keepNext/>
      <w:keepLines/>
      <w:spacing w:before="4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TML Acronym"/>
    <w:basedOn w:val="5"/>
    <w:unhideWhenUsed/>
    <w:qFormat/>
    <w:uiPriority w:val="99"/>
    <w:rPr>
      <w:shd w:val="clear" w:color="auto" w:fill="FFFF00"/>
    </w:rPr>
  </w:style>
  <w:style w:type="character" w:styleId="8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9">
    <w:name w:val="Balloon Text"/>
    <w:basedOn w:val="1"/>
    <w:link w:val="19"/>
    <w:semiHidden/>
    <w:unhideWhenUsed/>
    <w:qFormat/>
    <w:uiPriority w:val="99"/>
    <w:rPr>
      <w:rFonts w:ascii="Segoe UI" w:hAnsi="Segoe UI" w:cs="Segoe UI"/>
      <w:sz w:val="18"/>
      <w:szCs w:val="18"/>
    </w:rPr>
  </w:style>
  <w:style w:type="paragraph" w:styleId="10">
    <w:name w:val="header"/>
    <w:basedOn w:val="1"/>
    <w:link w:val="40"/>
    <w:unhideWhenUsed/>
    <w:qFormat/>
    <w:uiPriority w:val="99"/>
    <w:pPr>
      <w:tabs>
        <w:tab w:val="center" w:pos="4677"/>
        <w:tab w:val="right" w:pos="9355"/>
      </w:tabs>
    </w:pPr>
  </w:style>
  <w:style w:type="paragraph" w:styleId="11">
    <w:name w:val="Title"/>
    <w:basedOn w:val="1"/>
    <w:next w:val="1"/>
    <w:link w:val="32"/>
    <w:qFormat/>
    <w:uiPriority w:val="10"/>
    <w:pPr>
      <w:pBdr>
        <w:bottom w:val="single" w:color="4472C4" w:themeColor="accent1" w:sz="8" w:space="4"/>
      </w:pBdr>
      <w:spacing w:after="300"/>
      <w:ind w:firstLine="0"/>
      <w:contextualSpacing/>
    </w:pPr>
    <w:rPr>
      <w:rFonts w:asciiTheme="majorHAnsi" w:hAnsiTheme="majorHAnsi" w:eastAsiaTheme="majorEastAsia" w:cstheme="majorBidi"/>
      <w:color w:val="333F50" w:themeColor="text2" w:themeShade="BF"/>
      <w:spacing w:val="5"/>
      <w:kern w:val="28"/>
      <w:sz w:val="52"/>
      <w:szCs w:val="52"/>
      <w:lang w:val="en-US" w:bidi="en-US"/>
    </w:rPr>
  </w:style>
  <w:style w:type="paragraph" w:styleId="12">
    <w:name w:val="footer"/>
    <w:basedOn w:val="1"/>
    <w:link w:val="41"/>
    <w:unhideWhenUsed/>
    <w:qFormat/>
    <w:uiPriority w:val="99"/>
    <w:pPr>
      <w:tabs>
        <w:tab w:val="center" w:pos="4677"/>
        <w:tab w:val="right" w:pos="9355"/>
      </w:tabs>
    </w:pPr>
  </w:style>
  <w:style w:type="paragraph" w:styleId="13">
    <w:name w:val="Normal (Web)"/>
    <w:basedOn w:val="1"/>
    <w:unhideWhenUsed/>
    <w:qFormat/>
    <w:uiPriority w:val="99"/>
    <w:pPr>
      <w:spacing w:before="100" w:beforeAutospacing="1" w:after="100" w:afterAutospacing="1"/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14">
    <w:name w:val="Table Grid"/>
    <w:basedOn w:val="6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15">
    <w:name w:val="Заголовок 1 Знак"/>
    <w:basedOn w:val="5"/>
    <w:link w:val="2"/>
    <w:qFormat/>
    <w:uiPriority w:val="9"/>
    <w:rPr>
      <w:rFonts w:asciiTheme="majorHAnsi" w:hAnsiTheme="majorHAnsi" w:eastAsiaTheme="majorEastAsia" w:cstheme="majorBidi"/>
      <w:b/>
      <w:bCs/>
      <w:color w:val="2F5597" w:themeColor="accent1" w:themeShade="BF"/>
      <w:sz w:val="28"/>
      <w:szCs w:val="28"/>
      <w:lang w:val="ru-RU"/>
    </w:rPr>
  </w:style>
  <w:style w:type="paragraph" w:customStyle="1" w:styleId="16">
    <w:name w:val="newncpi"/>
    <w:basedOn w:val="1"/>
    <w:qFormat/>
    <w:uiPriority w:val="0"/>
    <w:pPr>
      <w:spacing w:before="160" w:after="160"/>
      <w:ind w:firstLine="567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7">
    <w:name w:val="newncpi0"/>
    <w:basedOn w:val="1"/>
    <w:qFormat/>
    <w:uiPriority w:val="99"/>
    <w:pPr>
      <w:ind w:firstLine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8">
    <w:name w:val="table10"/>
    <w:basedOn w:val="1"/>
    <w:qFormat/>
    <w:uiPriority w:val="0"/>
    <w:pPr>
      <w:ind w:firstLine="0"/>
      <w:jc w:val="left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9">
    <w:name w:val="Текст выноски Знак"/>
    <w:basedOn w:val="5"/>
    <w:link w:val="9"/>
    <w:semiHidden/>
    <w:qFormat/>
    <w:uiPriority w:val="99"/>
    <w:rPr>
      <w:rFonts w:ascii="Segoe UI" w:hAnsi="Segoe UI" w:cs="Segoe UI"/>
      <w:sz w:val="18"/>
      <w:szCs w:val="18"/>
      <w:lang w:val="ru-RU"/>
    </w:rPr>
  </w:style>
  <w:style w:type="character" w:customStyle="1" w:styleId="20">
    <w:name w:val="Заголовок 2 Знак"/>
    <w:basedOn w:val="5"/>
    <w:link w:val="3"/>
    <w:qFormat/>
    <w:uiPriority w:val="9"/>
    <w:rPr>
      <w:rFonts w:asciiTheme="majorHAnsi" w:hAnsiTheme="majorHAnsi" w:eastAsiaTheme="majorEastAsia" w:cstheme="majorBidi"/>
      <w:b/>
      <w:bCs/>
      <w:color w:val="4472C4" w:themeColor="accent1"/>
      <w:sz w:val="26"/>
      <w:szCs w:val="26"/>
      <w14:textFill>
        <w14:solidFill>
          <w14:schemeClr w14:val="accent1"/>
        </w14:solidFill>
      </w14:textFill>
    </w:rPr>
  </w:style>
  <w:style w:type="paragraph" w:customStyle="1" w:styleId="21">
    <w:name w:val="ConsPlusNonformat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0"/>
      <w:szCs w:val="20"/>
      <w:lang w:val="ru-RU" w:eastAsia="ru-RU" w:bidi="ar-SA"/>
    </w:rPr>
  </w:style>
  <w:style w:type="paragraph" w:customStyle="1" w:styleId="22">
    <w:name w:val="justify"/>
    <w:basedOn w:val="1"/>
    <w:qFormat/>
    <w:uiPriority w:val="0"/>
    <w:pPr>
      <w:spacing w:after="160"/>
      <w:ind w:firstLine="567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23">
    <w:name w:val="a0"/>
    <w:basedOn w:val="1"/>
    <w:semiHidden/>
    <w:qFormat/>
    <w:uiPriority w:val="99"/>
    <w:pPr>
      <w:spacing w:after="160"/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24">
    <w:name w:val="ConsPlusCell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customStyle="1" w:styleId="25">
    <w:name w:val="ConsPlusNormal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 w:eastAsiaTheme="minorEastAsia"/>
      <w:sz w:val="20"/>
      <w:szCs w:val="20"/>
      <w:lang w:val="ru-RU" w:eastAsia="ru-RU" w:bidi="ar-SA"/>
    </w:rPr>
  </w:style>
  <w:style w:type="paragraph" w:customStyle="1" w:styleId="26">
    <w:name w:val="ConsNonformat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2"/>
      <w:szCs w:val="22"/>
      <w:lang w:val="ru-RU" w:eastAsia="ru-RU" w:bidi="ar-SA"/>
    </w:rPr>
  </w:style>
  <w:style w:type="character" w:customStyle="1" w:styleId="27">
    <w:name w:val="Основной текст_"/>
    <w:link w:val="28"/>
    <w:qFormat/>
    <w:uiPriority w:val="0"/>
    <w:rPr>
      <w:rFonts w:ascii="Times New Roman" w:hAnsi="Times New Roman" w:eastAsia="Times New Roman"/>
      <w:shd w:val="clear" w:color="auto" w:fill="FFFFFF"/>
    </w:rPr>
  </w:style>
  <w:style w:type="paragraph" w:customStyle="1" w:styleId="28">
    <w:name w:val="Основной текст7"/>
    <w:basedOn w:val="1"/>
    <w:link w:val="27"/>
    <w:qFormat/>
    <w:uiPriority w:val="0"/>
    <w:pPr>
      <w:widowControl w:val="0"/>
      <w:shd w:val="clear" w:color="auto" w:fill="FFFFFF"/>
      <w:spacing w:line="235" w:lineRule="exact"/>
      <w:ind w:firstLine="0"/>
    </w:pPr>
    <w:rPr>
      <w:rFonts w:ascii="Times New Roman" w:hAnsi="Times New Roman" w:eastAsia="Times New Roman"/>
    </w:rPr>
  </w:style>
  <w:style w:type="character" w:customStyle="1" w:styleId="29">
    <w:name w:val="Основной текст1"/>
    <w:qFormat/>
    <w:uiPriority w:val="0"/>
    <w:rPr>
      <w:rFonts w:ascii="Times New Roman" w:hAnsi="Times New Roman" w:eastAsia="Times New Roman"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30">
    <w:name w:val="h"/>
    <w:basedOn w:val="5"/>
    <w:qFormat/>
    <w:uiPriority w:val="0"/>
  </w:style>
  <w:style w:type="character" w:customStyle="1" w:styleId="31">
    <w:name w:val="apple-converted-space"/>
    <w:basedOn w:val="5"/>
    <w:qFormat/>
    <w:uiPriority w:val="0"/>
  </w:style>
  <w:style w:type="character" w:customStyle="1" w:styleId="32">
    <w:name w:val="Название Знак"/>
    <w:basedOn w:val="5"/>
    <w:link w:val="11"/>
    <w:qFormat/>
    <w:uiPriority w:val="10"/>
    <w:rPr>
      <w:rFonts w:asciiTheme="majorHAnsi" w:hAnsiTheme="majorHAnsi" w:eastAsiaTheme="majorEastAsia" w:cstheme="majorBidi"/>
      <w:color w:val="333F50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33">
    <w:name w:val="iceouttxt"/>
    <w:basedOn w:val="5"/>
    <w:qFormat/>
    <w:uiPriority w:val="0"/>
  </w:style>
  <w:style w:type="paragraph" w:styleId="34">
    <w:name w:val="List Paragraph"/>
    <w:basedOn w:val="1"/>
    <w:qFormat/>
    <w:uiPriority w:val="34"/>
    <w:pPr>
      <w:spacing w:after="200" w:line="276" w:lineRule="auto"/>
      <w:ind w:left="720" w:firstLine="0"/>
      <w:contextualSpacing/>
      <w:jc w:val="left"/>
    </w:pPr>
    <w:rPr>
      <w:rFonts w:eastAsiaTheme="minorEastAsia"/>
      <w:lang w:eastAsia="ru-RU"/>
    </w:rPr>
  </w:style>
  <w:style w:type="character" w:customStyle="1" w:styleId="35">
    <w:name w:val="Заголовок 3 Знак"/>
    <w:basedOn w:val="5"/>
    <w:link w:val="4"/>
    <w:semiHidden/>
    <w:qFormat/>
    <w:uiPriority w:val="9"/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character" w:customStyle="1" w:styleId="36">
    <w:name w:val="Подпись к таблице (2)_"/>
    <w:basedOn w:val="5"/>
    <w:link w:val="37"/>
    <w:qFormat/>
    <w:uiPriority w:val="0"/>
    <w:rPr>
      <w:sz w:val="27"/>
      <w:szCs w:val="27"/>
      <w:shd w:val="clear" w:color="auto" w:fill="FFFFFF"/>
    </w:rPr>
  </w:style>
  <w:style w:type="paragraph" w:customStyle="1" w:styleId="37">
    <w:name w:val="Подпись к таблице (2)"/>
    <w:basedOn w:val="1"/>
    <w:link w:val="36"/>
    <w:qFormat/>
    <w:uiPriority w:val="0"/>
    <w:pPr>
      <w:widowControl w:val="0"/>
      <w:shd w:val="clear" w:color="auto" w:fill="FFFFFF"/>
      <w:spacing w:line="0" w:lineRule="atLeast"/>
      <w:ind w:firstLine="0"/>
      <w:jc w:val="left"/>
    </w:pPr>
    <w:rPr>
      <w:sz w:val="27"/>
      <w:szCs w:val="27"/>
    </w:rPr>
  </w:style>
  <w:style w:type="paragraph" w:styleId="38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customStyle="1" w:styleId="39">
    <w:name w:val="Основной текст2"/>
    <w:basedOn w:val="1"/>
    <w:qFormat/>
    <w:uiPriority w:val="0"/>
    <w:pPr>
      <w:widowControl w:val="0"/>
      <w:shd w:val="clear" w:color="auto" w:fill="FFFFFF"/>
      <w:spacing w:before="540" w:line="322" w:lineRule="exact"/>
      <w:ind w:hanging="440"/>
      <w:jc w:val="left"/>
    </w:pPr>
    <w:rPr>
      <w:rFonts w:ascii="Times New Roman" w:hAnsi="Times New Roman" w:eastAsia="Times New Roman" w:cs="Times New Roman"/>
      <w:color w:val="000000"/>
      <w:sz w:val="27"/>
      <w:szCs w:val="27"/>
      <w:lang w:eastAsia="ru-RU"/>
    </w:rPr>
  </w:style>
  <w:style w:type="character" w:customStyle="1" w:styleId="40">
    <w:name w:val="Верхний колонтитул Знак"/>
    <w:basedOn w:val="5"/>
    <w:link w:val="10"/>
    <w:qFormat/>
    <w:uiPriority w:val="99"/>
  </w:style>
  <w:style w:type="character" w:customStyle="1" w:styleId="41">
    <w:name w:val="Нижний колонтитул Знак"/>
    <w:basedOn w:val="5"/>
    <w:link w:val="12"/>
    <w:qFormat/>
    <w:uiPriority w:val="99"/>
  </w:style>
  <w:style w:type="paragraph" w:customStyle="1" w:styleId="42">
    <w:name w:val="p-normal"/>
    <w:basedOn w:val="1"/>
    <w:qFormat/>
    <w:uiPriority w:val="0"/>
    <w:pPr>
      <w:spacing w:before="100" w:beforeAutospacing="1" w:after="100" w:afterAutospacing="1"/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B5E46A-25E7-4102-BF53-61A5BD3818F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Grizli777</Company>
  <Pages>5</Pages>
  <Words>1388</Words>
  <Characters>10264</Characters>
  <Lines>83</Lines>
  <Paragraphs>23</Paragraphs>
  <TotalTime>0</TotalTime>
  <ScaleCrop>false</ScaleCrop>
  <LinksUpToDate>false</LinksUpToDate>
  <CharactersWithSpaces>11689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2025-02-04T06:40:00Z</dcterms:created>
  <dc:creator>User2</dc:creator>
  <cp:lastModifiedBy>Goga Pipa</cp:lastModifiedBy>
  <cp:lastPrinted>2026-07-06T08:48:47Z</cp:lastPrinted>
  <dcterms:modified xsi:type="dcterms:W3CDTF">2026-07-06T08:48:54Z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1049-12.1.0.26880</vt:lpwstr>
  </property>
  <property fmtid="{D5CDD505-2E9C-101B-9397-08002B2CF9AE}" pid="3" name="ICV">
    <vt:lpwstr>5FD39F4308A540EAA6ED2A107300D5E6_12</vt:lpwstr>
  </property>
  <property fmtid="{D5CDD505-2E9C-101B-9397-08002B2CF9AE}" pid="4" name="KSOTemplateDocerSaveRecord">
    <vt:lpwstr>eyJoZGlkIjoiNGJlMzlhMDNiNWY4OTkzMWQ2ZDEwNjEwOTJiMDVkM2UiLCJ1c2VySWQiOiI3NTc2ODYyNTk1Mzc1In0=</vt:lpwstr>
  </property>
</Properties>
</file>